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0" w:rsidRPr="00564993" w:rsidRDefault="002F7620" w:rsidP="002F7620">
      <w:pPr>
        <w:jc w:val="center"/>
        <w:rPr>
          <w:sz w:val="24"/>
          <w:szCs w:val="24"/>
        </w:rPr>
      </w:pPr>
      <w:r w:rsidRPr="00564993">
        <w:rPr>
          <w:b/>
          <w:sz w:val="24"/>
          <w:szCs w:val="24"/>
        </w:rPr>
        <w:t xml:space="preserve">АДМИНИСТРАЦИЯ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4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993">
        <w:rPr>
          <w:sz w:val="24"/>
          <w:szCs w:val="24"/>
        </w:rPr>
        <w:t xml:space="preserve">     </w:t>
      </w:r>
      <w:r w:rsidRPr="00564993">
        <w:rPr>
          <w:b/>
          <w:sz w:val="24"/>
          <w:szCs w:val="24"/>
        </w:rPr>
        <w:t>БРАСОВСКОГО РАЙОНА</w:t>
      </w:r>
    </w:p>
    <w:p w:rsidR="002F7620" w:rsidRPr="00564993" w:rsidRDefault="002F7620" w:rsidP="002F7620">
      <w:pPr>
        <w:jc w:val="center"/>
        <w:rPr>
          <w:b/>
          <w:sz w:val="24"/>
          <w:szCs w:val="24"/>
        </w:rPr>
      </w:pPr>
      <w:r w:rsidRPr="00564993">
        <w:rPr>
          <w:b/>
          <w:sz w:val="24"/>
          <w:szCs w:val="24"/>
        </w:rPr>
        <w:t>БРЯНСКАЯ     ОБЛАСТЬ</w:t>
      </w:r>
    </w:p>
    <w:p w:rsidR="002F7620" w:rsidRPr="00564993" w:rsidRDefault="002F7620" w:rsidP="002F7620">
      <w:pPr>
        <w:jc w:val="center"/>
        <w:rPr>
          <w:b/>
          <w:sz w:val="24"/>
          <w:szCs w:val="24"/>
        </w:rPr>
      </w:pPr>
      <w:r w:rsidRPr="00564993">
        <w:rPr>
          <w:b/>
          <w:sz w:val="24"/>
          <w:szCs w:val="24"/>
        </w:rPr>
        <w:t>МУНИЦИПАЛЬНОЕ КАЗЕННОЕ УЧРЕЖДЕНИЕ</w:t>
      </w:r>
    </w:p>
    <w:p w:rsidR="002F7620" w:rsidRPr="00564993" w:rsidRDefault="002F7620" w:rsidP="002F7620">
      <w:pPr>
        <w:jc w:val="center"/>
        <w:rPr>
          <w:b/>
          <w:sz w:val="24"/>
          <w:szCs w:val="24"/>
        </w:rPr>
      </w:pPr>
      <w:r w:rsidRPr="00564993">
        <w:rPr>
          <w:b/>
          <w:sz w:val="24"/>
          <w:szCs w:val="24"/>
        </w:rPr>
        <w:t>ОТДЕЛ ПО ВОПРОСАМ  ЛОКОТСКОГО  ГОРОДСКОГО ПОСЕЛЕНИЯ</w:t>
      </w:r>
    </w:p>
    <w:p w:rsidR="002F7620" w:rsidRDefault="002F7620" w:rsidP="002F7620">
      <w:pPr>
        <w:jc w:val="center"/>
        <w:rPr>
          <w:sz w:val="18"/>
        </w:rPr>
      </w:pPr>
    </w:p>
    <w:p w:rsidR="002F7620" w:rsidRDefault="005D7F6A" w:rsidP="002F7620">
      <w:pPr>
        <w:jc w:val="center"/>
        <w:rPr>
          <w:sz w:val="18"/>
        </w:rPr>
      </w:pPr>
      <w:r w:rsidRPr="005D7F6A">
        <w:rPr>
          <w:noProof/>
        </w:rPr>
        <w:pict>
          <v:line id="_x0000_s1026" style="position:absolute;left:0;text-align:left;flip:y;z-index:251660288" from="8.5pt,-.2pt" to="476.5pt,-.2pt" o:allowincell="f" strokeweight="4.5pt">
            <v:stroke linestyle="thickThin"/>
          </v:line>
        </w:pict>
      </w:r>
    </w:p>
    <w:p w:rsidR="002F7620" w:rsidRDefault="002F7620" w:rsidP="002F7620">
      <w:pPr>
        <w:tabs>
          <w:tab w:val="left" w:pos="7440"/>
        </w:tabs>
        <w:jc w:val="center"/>
        <w:rPr>
          <w:b/>
        </w:rPr>
      </w:pPr>
    </w:p>
    <w:p w:rsidR="002F7620" w:rsidRPr="00B3492A" w:rsidRDefault="002F7620" w:rsidP="002F7620">
      <w:pPr>
        <w:tabs>
          <w:tab w:val="left" w:pos="7440"/>
        </w:tabs>
        <w:rPr>
          <w:b/>
        </w:rPr>
      </w:pPr>
      <w:r>
        <w:rPr>
          <w:b/>
        </w:rPr>
        <w:t xml:space="preserve">          </w:t>
      </w:r>
    </w:p>
    <w:p w:rsidR="002F7620" w:rsidRDefault="002F7620" w:rsidP="002F7620">
      <w:pPr>
        <w:tabs>
          <w:tab w:val="left" w:pos="1320"/>
        </w:tabs>
        <w:jc w:val="center"/>
      </w:pPr>
    </w:p>
    <w:p w:rsidR="002F7620" w:rsidRDefault="002F7620" w:rsidP="002F7620">
      <w:pPr>
        <w:tabs>
          <w:tab w:val="left" w:pos="1320"/>
          <w:tab w:val="left" w:pos="2700"/>
        </w:tabs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2F7620" w:rsidRDefault="002F7620" w:rsidP="002F7620">
      <w:pPr>
        <w:tabs>
          <w:tab w:val="left" w:pos="1320"/>
          <w:tab w:val="left" w:pos="2700"/>
        </w:tabs>
        <w:rPr>
          <w:b/>
          <w:szCs w:val="28"/>
        </w:rPr>
      </w:pPr>
      <w:r>
        <w:rPr>
          <w:b/>
          <w:szCs w:val="28"/>
        </w:rPr>
        <w:t xml:space="preserve"> </w:t>
      </w:r>
    </w:p>
    <w:p w:rsidR="002F7620" w:rsidRPr="00B22519" w:rsidRDefault="002F7620" w:rsidP="002F7620">
      <w:pPr>
        <w:tabs>
          <w:tab w:val="left" w:pos="1320"/>
          <w:tab w:val="left" w:pos="2700"/>
        </w:tabs>
        <w:rPr>
          <w:szCs w:val="28"/>
        </w:rPr>
      </w:pPr>
      <w:r>
        <w:rPr>
          <w:szCs w:val="28"/>
        </w:rPr>
        <w:t>от  16 августа</w:t>
      </w:r>
      <w:r w:rsidRPr="00B22519">
        <w:rPr>
          <w:szCs w:val="28"/>
        </w:rPr>
        <w:t xml:space="preserve"> 2016г. №</w:t>
      </w:r>
      <w:r>
        <w:rPr>
          <w:szCs w:val="28"/>
        </w:rPr>
        <w:t xml:space="preserve"> 24</w:t>
      </w:r>
    </w:p>
    <w:p w:rsidR="002F7620" w:rsidRDefault="002F7620" w:rsidP="002F7620">
      <w:pPr>
        <w:tabs>
          <w:tab w:val="left" w:pos="1320"/>
          <w:tab w:val="left" w:pos="2700"/>
        </w:tabs>
        <w:rPr>
          <w:b/>
          <w:szCs w:val="28"/>
        </w:rPr>
      </w:pPr>
    </w:p>
    <w:p w:rsidR="002F7620" w:rsidRPr="00EE42B0" w:rsidRDefault="002F7620" w:rsidP="002F7620">
      <w:pPr>
        <w:tabs>
          <w:tab w:val="left" w:pos="1320"/>
          <w:tab w:val="left" w:pos="2700"/>
        </w:tabs>
        <w:rPr>
          <w:b/>
          <w:szCs w:val="28"/>
        </w:rPr>
      </w:pPr>
    </w:p>
    <w:p w:rsidR="002F7620" w:rsidRPr="00490D70" w:rsidRDefault="002F7620" w:rsidP="002F7620">
      <w:pPr>
        <w:tabs>
          <w:tab w:val="left" w:pos="1320"/>
          <w:tab w:val="left" w:pos="2700"/>
        </w:tabs>
        <w:jc w:val="center"/>
        <w:rPr>
          <w:sz w:val="24"/>
          <w:szCs w:val="24"/>
        </w:rPr>
      </w:pPr>
    </w:p>
    <w:p w:rsidR="002F7620" w:rsidRPr="00740B45" w:rsidRDefault="002F7620" w:rsidP="002F7620">
      <w:pPr>
        <w:rPr>
          <w:szCs w:val="28"/>
        </w:rPr>
      </w:pPr>
      <w:r w:rsidRPr="00740B45">
        <w:rPr>
          <w:szCs w:val="28"/>
        </w:rPr>
        <w:t>Об утверждении методики</w:t>
      </w:r>
    </w:p>
    <w:p w:rsidR="002F7620" w:rsidRPr="006C6149" w:rsidRDefault="002F7620" w:rsidP="002F7620">
      <w:pPr>
        <w:rPr>
          <w:b/>
          <w:szCs w:val="28"/>
        </w:rPr>
      </w:pPr>
      <w:r w:rsidRPr="00740B45">
        <w:rPr>
          <w:szCs w:val="28"/>
        </w:rPr>
        <w:t xml:space="preserve">прогнозирования </w:t>
      </w:r>
      <w:r w:rsidRPr="006C6149">
        <w:rPr>
          <w:b/>
          <w:szCs w:val="28"/>
        </w:rPr>
        <w:t xml:space="preserve"> </w:t>
      </w:r>
      <w:r w:rsidRPr="00FA2C50">
        <w:rPr>
          <w:szCs w:val="28"/>
        </w:rPr>
        <w:t>доходов бюджета</w:t>
      </w:r>
    </w:p>
    <w:p w:rsidR="002F7620" w:rsidRDefault="002F7620" w:rsidP="002F7620">
      <w:pPr>
        <w:rPr>
          <w:szCs w:val="28"/>
        </w:rPr>
      </w:pPr>
      <w:r w:rsidRPr="00740B45">
        <w:rPr>
          <w:szCs w:val="28"/>
        </w:rPr>
        <w:t>Локотского городского поселения</w:t>
      </w:r>
    </w:p>
    <w:p w:rsidR="002F7620" w:rsidRPr="00740B45" w:rsidRDefault="002F7620" w:rsidP="002F7620">
      <w:pPr>
        <w:rPr>
          <w:szCs w:val="28"/>
        </w:rPr>
      </w:pPr>
      <w:r>
        <w:rPr>
          <w:szCs w:val="28"/>
        </w:rPr>
        <w:t>Брасовского района</w:t>
      </w:r>
    </w:p>
    <w:p w:rsidR="002F7620" w:rsidRPr="00490D70" w:rsidRDefault="002F7620" w:rsidP="002F7620">
      <w:pPr>
        <w:ind w:left="284"/>
        <w:jc w:val="center"/>
        <w:rPr>
          <w:b/>
          <w:szCs w:val="28"/>
        </w:rPr>
      </w:pPr>
    </w:p>
    <w:p w:rsidR="002F7620" w:rsidRDefault="002F7620" w:rsidP="002F7620">
      <w:pPr>
        <w:ind w:firstLine="851"/>
        <w:jc w:val="both"/>
        <w:rPr>
          <w:szCs w:val="28"/>
        </w:rPr>
      </w:pPr>
    </w:p>
    <w:p w:rsidR="002F7620" w:rsidRPr="00702229" w:rsidRDefault="002F7620" w:rsidP="002F7620">
      <w:pPr>
        <w:ind w:firstLine="851"/>
        <w:jc w:val="both"/>
        <w:rPr>
          <w:szCs w:val="28"/>
        </w:rPr>
      </w:pPr>
      <w:r w:rsidRPr="00702229">
        <w:rPr>
          <w:szCs w:val="28"/>
        </w:rPr>
        <w:t xml:space="preserve">В целях повышения  объективности прогнозирования доходов бюджета </w:t>
      </w:r>
      <w:r>
        <w:rPr>
          <w:szCs w:val="28"/>
        </w:rPr>
        <w:t>Локотского городского</w:t>
      </w:r>
      <w:r w:rsidRPr="00702229">
        <w:rPr>
          <w:szCs w:val="28"/>
        </w:rPr>
        <w:t xml:space="preserve"> поселения</w:t>
      </w:r>
      <w:proofErr w:type="gramStart"/>
      <w:r>
        <w:rPr>
          <w:szCs w:val="28"/>
        </w:rPr>
        <w:t xml:space="preserve"> </w:t>
      </w:r>
      <w:r w:rsidRPr="00702229">
        <w:rPr>
          <w:szCs w:val="28"/>
        </w:rPr>
        <w:t>:</w:t>
      </w:r>
      <w:proofErr w:type="gramEnd"/>
    </w:p>
    <w:p w:rsidR="002F7620" w:rsidRPr="00702229" w:rsidRDefault="002F7620" w:rsidP="002F7620">
      <w:pPr>
        <w:ind w:firstLine="851"/>
        <w:jc w:val="both"/>
        <w:rPr>
          <w:szCs w:val="28"/>
        </w:rPr>
      </w:pPr>
    </w:p>
    <w:p w:rsidR="002F7620" w:rsidRDefault="002F7620" w:rsidP="002F7620">
      <w:pPr>
        <w:ind w:firstLine="851"/>
        <w:jc w:val="both"/>
        <w:rPr>
          <w:szCs w:val="28"/>
        </w:rPr>
      </w:pPr>
      <w:r w:rsidRPr="00702229">
        <w:rPr>
          <w:szCs w:val="28"/>
        </w:rPr>
        <w:t>1.Утвердить прилагаемую м</w:t>
      </w:r>
      <w:r>
        <w:rPr>
          <w:szCs w:val="28"/>
        </w:rPr>
        <w:t xml:space="preserve">етодику прогнозирования </w:t>
      </w:r>
      <w:r w:rsidRPr="00702229">
        <w:rPr>
          <w:szCs w:val="28"/>
        </w:rPr>
        <w:t xml:space="preserve"> </w:t>
      </w:r>
      <w:r w:rsidRPr="00FA2C50">
        <w:rPr>
          <w:szCs w:val="28"/>
        </w:rPr>
        <w:t>доходов бюджета</w:t>
      </w:r>
      <w:r w:rsidRPr="00702229">
        <w:rPr>
          <w:szCs w:val="28"/>
        </w:rPr>
        <w:t xml:space="preserve"> </w:t>
      </w:r>
      <w:r>
        <w:rPr>
          <w:szCs w:val="28"/>
        </w:rPr>
        <w:t xml:space="preserve">Локотского городского поселения Брасовского района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 к настоящему приказу.</w:t>
      </w:r>
    </w:p>
    <w:p w:rsidR="002F7620" w:rsidRDefault="002F7620" w:rsidP="002F7620">
      <w:pPr>
        <w:ind w:firstLine="851"/>
        <w:jc w:val="both"/>
        <w:rPr>
          <w:szCs w:val="28"/>
        </w:rPr>
      </w:pPr>
      <w:r>
        <w:rPr>
          <w:szCs w:val="28"/>
        </w:rPr>
        <w:t xml:space="preserve">2.Настоящий приказ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официального опубликования на официальном сайте Локотского городского поселения в сети интернет.</w:t>
      </w:r>
    </w:p>
    <w:p w:rsidR="002F7620" w:rsidRPr="00702229" w:rsidRDefault="002F7620" w:rsidP="002F7620">
      <w:pPr>
        <w:jc w:val="both"/>
        <w:rPr>
          <w:szCs w:val="28"/>
        </w:rPr>
      </w:pPr>
      <w:r>
        <w:rPr>
          <w:szCs w:val="28"/>
        </w:rPr>
        <w:t xml:space="preserve">          3</w:t>
      </w:r>
      <w:r w:rsidRPr="00702229">
        <w:rPr>
          <w:szCs w:val="28"/>
        </w:rPr>
        <w:t>.</w:t>
      </w:r>
      <w:proofErr w:type="gramStart"/>
      <w:r w:rsidRPr="00702229">
        <w:rPr>
          <w:szCs w:val="28"/>
        </w:rPr>
        <w:t>Контроль за</w:t>
      </w:r>
      <w:proofErr w:type="gramEnd"/>
      <w:r w:rsidRPr="00702229">
        <w:rPr>
          <w:szCs w:val="28"/>
        </w:rPr>
        <w:t xml:space="preserve"> исполнением настоящего </w:t>
      </w:r>
      <w:r>
        <w:rPr>
          <w:szCs w:val="28"/>
        </w:rPr>
        <w:t>приказа</w:t>
      </w:r>
      <w:r w:rsidRPr="00702229">
        <w:rPr>
          <w:szCs w:val="28"/>
        </w:rPr>
        <w:t xml:space="preserve">  оставляю за собой.</w:t>
      </w:r>
    </w:p>
    <w:p w:rsidR="002F7620" w:rsidRPr="00702229" w:rsidRDefault="002F7620" w:rsidP="002F7620">
      <w:pPr>
        <w:jc w:val="both"/>
        <w:rPr>
          <w:szCs w:val="28"/>
        </w:rPr>
      </w:pPr>
    </w:p>
    <w:p w:rsidR="002F7620" w:rsidRPr="00702229" w:rsidRDefault="002F7620" w:rsidP="002F7620">
      <w:pPr>
        <w:jc w:val="both"/>
        <w:rPr>
          <w:szCs w:val="28"/>
        </w:rPr>
      </w:pPr>
      <w:r w:rsidRPr="00702229">
        <w:rPr>
          <w:szCs w:val="28"/>
        </w:rPr>
        <w:tab/>
      </w:r>
    </w:p>
    <w:p w:rsidR="002F7620" w:rsidRPr="00702229" w:rsidRDefault="002F7620" w:rsidP="002F7620">
      <w:pPr>
        <w:jc w:val="both"/>
        <w:rPr>
          <w:szCs w:val="28"/>
        </w:rPr>
      </w:pPr>
    </w:p>
    <w:p w:rsidR="002F7620" w:rsidRDefault="002F7620" w:rsidP="002F7620">
      <w:pPr>
        <w:jc w:val="both"/>
        <w:rPr>
          <w:szCs w:val="28"/>
          <w:lang w:eastAsia="ru-RU"/>
        </w:rPr>
      </w:pPr>
    </w:p>
    <w:p w:rsidR="002F7620" w:rsidRDefault="002F7620" w:rsidP="002F7620">
      <w:pPr>
        <w:jc w:val="both"/>
        <w:rPr>
          <w:szCs w:val="28"/>
          <w:lang w:eastAsia="ru-RU"/>
        </w:rPr>
      </w:pPr>
    </w:p>
    <w:p w:rsidR="002F7620" w:rsidRDefault="002F7620" w:rsidP="002F76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И.о</w:t>
      </w:r>
      <w:proofErr w:type="gramStart"/>
      <w:r>
        <w:rPr>
          <w:szCs w:val="28"/>
          <w:lang w:eastAsia="ru-RU"/>
        </w:rPr>
        <w:t>.н</w:t>
      </w:r>
      <w:proofErr w:type="gramEnd"/>
      <w:r>
        <w:rPr>
          <w:szCs w:val="28"/>
          <w:lang w:eastAsia="ru-RU"/>
        </w:rPr>
        <w:t>ачальника МКУ отдел</w:t>
      </w:r>
    </w:p>
    <w:p w:rsidR="002F7620" w:rsidRPr="00977D1B" w:rsidRDefault="002F7620" w:rsidP="002F7620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по вопросам Локотского городского поселения                    </w:t>
      </w:r>
      <w:proofErr w:type="spellStart"/>
      <w:r>
        <w:rPr>
          <w:szCs w:val="28"/>
          <w:lang w:eastAsia="ru-RU"/>
        </w:rPr>
        <w:t>И.М.Рацеев</w:t>
      </w:r>
      <w:proofErr w:type="spellEnd"/>
      <w:r w:rsidRPr="00977D1B">
        <w:rPr>
          <w:szCs w:val="28"/>
          <w:lang w:eastAsia="ru-RU"/>
        </w:rPr>
        <w:t xml:space="preserve">                                                  </w:t>
      </w:r>
      <w:r>
        <w:rPr>
          <w:szCs w:val="28"/>
          <w:lang w:eastAsia="ru-RU"/>
        </w:rPr>
        <w:t xml:space="preserve">             </w:t>
      </w:r>
    </w:p>
    <w:p w:rsidR="002F7620" w:rsidRDefault="002F7620" w:rsidP="002F76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2F7620" w:rsidRPr="00702229" w:rsidRDefault="002F7620" w:rsidP="002F7620">
      <w:pPr>
        <w:jc w:val="both"/>
        <w:rPr>
          <w:szCs w:val="28"/>
        </w:rPr>
      </w:pPr>
    </w:p>
    <w:p w:rsidR="002F7620" w:rsidRDefault="002F7620" w:rsidP="002F7620">
      <w:pPr>
        <w:jc w:val="both"/>
      </w:pPr>
    </w:p>
    <w:p w:rsidR="002F7620" w:rsidRDefault="002F7620" w:rsidP="002F7620">
      <w:pPr>
        <w:jc w:val="both"/>
      </w:pPr>
    </w:p>
    <w:p w:rsidR="002F7620" w:rsidRDefault="002F7620" w:rsidP="002F7620">
      <w:pPr>
        <w:jc w:val="both"/>
      </w:pPr>
    </w:p>
    <w:p w:rsidR="002F7620" w:rsidRPr="00F45C94" w:rsidRDefault="002F7620" w:rsidP="002F762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7620" w:rsidRPr="000009F2" w:rsidRDefault="002F7620" w:rsidP="002F7620">
      <w:pPr>
        <w:tabs>
          <w:tab w:val="left" w:pos="5529"/>
        </w:tabs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</w:t>
      </w:r>
      <w:proofErr w:type="gramStart"/>
      <w:r w:rsidRPr="000009F2"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приказом</w:t>
      </w:r>
    </w:p>
    <w:p w:rsidR="002F7620" w:rsidRDefault="002F7620" w:rsidP="002F76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МКУ Отдел по вопросам Локотского</w:t>
      </w:r>
    </w:p>
    <w:p w:rsidR="002F7620" w:rsidRDefault="002F7620" w:rsidP="002F76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городского поселения </w:t>
      </w:r>
    </w:p>
    <w:p w:rsidR="002F7620" w:rsidRDefault="002F7620" w:rsidP="002F76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 16 августа 2016г. № 24</w:t>
      </w:r>
    </w:p>
    <w:p w:rsidR="002F7620" w:rsidRPr="00616A21" w:rsidRDefault="002F7620" w:rsidP="002F7620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(приложение №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7620" w:rsidRDefault="002F7620" w:rsidP="002F7620">
      <w:pPr>
        <w:jc w:val="center"/>
        <w:rPr>
          <w:szCs w:val="28"/>
        </w:rPr>
      </w:pPr>
    </w:p>
    <w:p w:rsidR="002F7620" w:rsidRDefault="002F7620" w:rsidP="002F7620">
      <w:pPr>
        <w:spacing w:line="360" w:lineRule="auto"/>
        <w:jc w:val="both"/>
        <w:rPr>
          <w:szCs w:val="28"/>
        </w:rPr>
      </w:pPr>
    </w:p>
    <w:p w:rsidR="002F7620" w:rsidRDefault="002F7620" w:rsidP="002F7620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Методика прогнозирования поступлений доходов в бюджет  Локотского городского  поселения Брасовского района</w:t>
      </w:r>
    </w:p>
    <w:p w:rsidR="002F7620" w:rsidRDefault="002F7620" w:rsidP="002F7620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:rsidR="002F7620" w:rsidRDefault="002F7620" w:rsidP="002F762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1.Общие положения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Настоящая методика определяет порядок прогнозирования поступлений доходов в  бюджет Локотского городского поселения, администрирование которых осуществляет МКУ Отдел по вопросам Локотского городского поселения администрации Брасовского района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в части прогнозирования поступлений по закрепленным  кодам доходов  бюджета  при формировании бюджета на очередной финансовый год и плановый период.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Прогнозирование поступлений налоговых и неналоговых доходов администратором доходов осуществляется в соответствии с  Налоговым кодексом Российской Федерации, федеральными законами, иными нормативными и правовыми актами, а также с использованием данных прогноза социально-экономического развития  Локотского городского поселения  на очередной год и плановый период,  аналитических материалов о динамике поступлений доходов  бюджета.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Методика прогнозирования по каждому виду доходов содержит: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а) описание всех показателей, используемых для расчета прогнозного объема поступлений с указанием источника данных для соответствующего показателя; б) характеристику метода расчета прогнозного объема поступлений.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Для среднесрочного прогнозирования основных источников доходов   бюджета применяются следующие методы прогнозирования: прямой  расчет, усреднение, индексация, экстраполяция.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Прямой расчет основывается на непосредственном использовании прогнозных значений объемных и стоимостных показателей, уровней ставок и других показателей, установленных для каждого источника дохода.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Усреднение -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Индексация предполагает установленную зависимость прогнозируемой величины с известными переменными. Этот метод предполагает широкое использование системы разнообразных макроэкономических индексов-дефляторов при расчете прогноза бюджетных показателей.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Экстраполяция (трендовый метод) является наиболее распространенным методом прогнозирования поступлений, основывается на имеющихся данных о тенденциях изменений поступлений в прошлых периодах и предположении, что изменения в будущем предопределяются изменениями в прошлом и настоящем.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Прогнозирование доходов   бюджета Локотского городского поселения осуществляется ежегодно, в соответствии с графиком подготовки и рассмотрения проектов  нормативно-правовых актов, документов и материалов, разрабатываемых при составлении проекта   бюджета на соответствующий финансовый год и плановый период.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2F7620" w:rsidRDefault="002F7620" w:rsidP="002F7620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lastRenderedPageBreak/>
        <w:t xml:space="preserve">                            </w:t>
      </w:r>
      <w:r>
        <w:rPr>
          <w:b/>
          <w:szCs w:val="28"/>
        </w:rPr>
        <w:t>2.Прогнозирование  поступления  доходов, закрепленных за главным  администратором  доходов  -  МКУ Отдел по вопросам Локотского городского поселения администрации Брасовского района  на очередной финансовый год и плановый период.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Прогнозирование  поступлений  и  расчет  доходов  производится  по  всем  кодам  классификации  доходов,  закрепленных  за  главным  администратором  доходов  -  МКУ Отдел по вопросам Локотского городского поселения администрации Брасовского района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согласно  правовому  акту  о  наделении  его  соответствующими  полномочиями.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2.1. Прогноз  поступления  по  неналоговым  доходам составляется  по  следующим  кодам: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2.1.1. Доходы от сдачи в аренду и использования имущества, находящегося в собственности поселения.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Прогнозный объем поступлений по коду доходов бюджета поселения 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111 05035 13 0000 120 «Доходы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учреждений)» (далее – арендная плата за муниципальное имущество)   рассчитывается методом прямого расчета.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Алгоритм расчета прогнозных показателей по данному виду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Источником данных о сдаваемой в аренду площади и ставке арендной платы являются договоры, заключенные (планируемые к заключению) с арендаторами.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Для расчета прогноза поступлений в местный бюджет доходов от арендной платы за муниципальное имущество используются: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lastRenderedPageBreak/>
        <w:t>- отчеты об исполнении местного бюджета; - сумма начислений арендной платы за муниципальное имущество в году, предшествующем расчетному; - прогноз  доходов о планируемом в расчетном году снижении (увеличении) суммы поступлений арендной платы за муниципальное имущество в связи с планируемым сокращением (увеличением) площадей муниципального имущества, сдаваемого в аренду в расчетном году;</w:t>
      </w:r>
      <w:proofErr w:type="gramEnd"/>
      <w:r>
        <w:rPr>
          <w:szCs w:val="28"/>
        </w:rPr>
        <w:t xml:space="preserve"> - </w:t>
      </w:r>
      <w:proofErr w:type="gramStart"/>
      <w:r>
        <w:rPr>
          <w:szCs w:val="28"/>
        </w:rPr>
        <w:t xml:space="preserve">прогноз администратора доходов о планируемом поступлением в расчетном году платежей, носящих разовый характер; - прогнозируемый коэффициент-дефлятор в расчетном году; - информация  о сумме задолженности по арендной плате за муниципальное имущество, в том числе возможную к взысканию, по состоянию на последнюю отчетную дату. </w:t>
      </w:r>
      <w:proofErr w:type="gramEnd"/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Расчет поступления </w:t>
      </w:r>
      <w:proofErr w:type="gramStart"/>
      <w:r>
        <w:rPr>
          <w:szCs w:val="28"/>
        </w:rPr>
        <w:t>доходов, получаемых в виде арендной платы за муниципальное имущество производится</w:t>
      </w:r>
      <w:proofErr w:type="gramEnd"/>
      <w:r>
        <w:rPr>
          <w:szCs w:val="28"/>
        </w:rPr>
        <w:t xml:space="preserve"> по следующей формуле: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Nм.у</w:t>
      </w:r>
      <w:proofErr w:type="spellEnd"/>
      <w:r>
        <w:rPr>
          <w:szCs w:val="28"/>
        </w:rPr>
        <w:t xml:space="preserve">. = </w:t>
      </w:r>
      <w:proofErr w:type="spellStart"/>
      <w:r>
        <w:rPr>
          <w:szCs w:val="28"/>
        </w:rPr>
        <w:t>Нм</w:t>
      </w:r>
      <w:proofErr w:type="gramStart"/>
      <w:r>
        <w:rPr>
          <w:szCs w:val="28"/>
        </w:rPr>
        <w:t>.у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К +/- </w:t>
      </w:r>
      <w:proofErr w:type="spellStart"/>
      <w:r>
        <w:rPr>
          <w:szCs w:val="28"/>
        </w:rPr>
        <w:t>Вм.у</w:t>
      </w:r>
      <w:proofErr w:type="spellEnd"/>
      <w:r>
        <w:rPr>
          <w:szCs w:val="28"/>
        </w:rPr>
        <w:t>,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где </w:t>
      </w:r>
      <w:proofErr w:type="spellStart"/>
      <w:r>
        <w:rPr>
          <w:szCs w:val="28"/>
        </w:rPr>
        <w:t>Nм</w:t>
      </w:r>
      <w:proofErr w:type="gramStart"/>
      <w:r>
        <w:rPr>
          <w:szCs w:val="28"/>
        </w:rPr>
        <w:t>.у</w:t>
      </w:r>
      <w:proofErr w:type="spellEnd"/>
      <w:proofErr w:type="gramEnd"/>
      <w:r>
        <w:rPr>
          <w:szCs w:val="28"/>
        </w:rPr>
        <w:t xml:space="preserve"> – прогноз поступления арендной платы за муниципальное имущество в местный бюджет;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Нм</w:t>
      </w:r>
      <w:proofErr w:type="gramStart"/>
      <w:r>
        <w:rPr>
          <w:szCs w:val="28"/>
        </w:rPr>
        <w:t>.у</w:t>
      </w:r>
      <w:proofErr w:type="spellEnd"/>
      <w:proofErr w:type="gramEnd"/>
      <w:r>
        <w:rPr>
          <w:szCs w:val="28"/>
        </w:rPr>
        <w:t xml:space="preserve"> – сумма начисленных платежей по арендной плате за муниципальное имущество в местный бюджет;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Вм</w:t>
      </w:r>
      <w:proofErr w:type="gramStart"/>
      <w:r>
        <w:rPr>
          <w:szCs w:val="28"/>
        </w:rPr>
        <w:t>.у</w:t>
      </w:r>
      <w:proofErr w:type="spellEnd"/>
      <w:proofErr w:type="gramEnd"/>
      <w:r>
        <w:rPr>
          <w:szCs w:val="28"/>
        </w:rPr>
        <w:t xml:space="preserve"> – оценка выпадающих (дополнительных) доходов от сдачи в аренду муниципального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использования, реализация мероприятий по сокращению недоимки и др.);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коэффициент</w:t>
      </w:r>
      <w:proofErr w:type="gramEnd"/>
      <w:r>
        <w:rPr>
          <w:szCs w:val="28"/>
        </w:rPr>
        <w:t xml:space="preserve"> индексации базовой ставки арендной платы за </w:t>
      </w:r>
      <w:smartTag w:uri="urn:schemas-microsoft-com:office:smarttags" w:element="metricconverter">
        <w:smartTagPr>
          <w:attr w:name="ProductID" w:val="1 кв. м"/>
        </w:smartTagPr>
        <w:r>
          <w:rPr>
            <w:szCs w:val="28"/>
          </w:rPr>
          <w:t>1 кв. м</w:t>
        </w:r>
      </w:smartTag>
      <w:r>
        <w:rPr>
          <w:szCs w:val="28"/>
        </w:rPr>
        <w:t xml:space="preserve">. нежилых помещений. </w:t>
      </w:r>
    </w:p>
    <w:p w:rsidR="002F7620" w:rsidRDefault="002F7620" w:rsidP="002F7620">
      <w:pPr>
        <w:spacing w:line="360" w:lineRule="auto"/>
        <w:rPr>
          <w:szCs w:val="28"/>
        </w:rPr>
      </w:pPr>
      <w:r>
        <w:rPr>
          <w:szCs w:val="28"/>
        </w:rPr>
        <w:t>2.1.2.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 поселениями (111 07015 13 0000 120)</w:t>
      </w:r>
    </w:p>
    <w:p w:rsidR="002F7620" w:rsidRDefault="002F7620" w:rsidP="002F7620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>
        <w:rPr>
          <w:szCs w:val="28"/>
        </w:rPr>
        <w:t xml:space="preserve">При прогнозировании поступлений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 поселениями (далее – часть чистой прибыли) применяется метод прямого расчета. </w:t>
      </w:r>
      <w:proofErr w:type="gramEnd"/>
    </w:p>
    <w:p w:rsidR="002F7620" w:rsidRDefault="002F7620" w:rsidP="002F7620">
      <w:pPr>
        <w:spacing w:line="360" w:lineRule="auto"/>
        <w:rPr>
          <w:szCs w:val="28"/>
        </w:rPr>
      </w:pPr>
      <w:r>
        <w:rPr>
          <w:szCs w:val="28"/>
        </w:rPr>
        <w:t xml:space="preserve"> Алгоритм расчета прогнозных показателей соответствующего вида доходов определяется исходя: - из величины чистой прибыли хозяйственных обществ, часть акций (или доли в уставных (складочных) капиталах) которых находится в государственной или муниципальной собственности; - из размера доли чистой прибыли хозяйственных обществ, направляемой ими на выплату дивидендов или распределяемой ими среди участников общества; - из размера доли государственного или муниципального участия в соответствующем хозяйственном обществе (с учетом пакета акций, который планируется к приватизации в текущем году); - из периода деятельности хозяйственного общества, за который выплачиваются дивиденды. </w:t>
      </w:r>
    </w:p>
    <w:p w:rsidR="002F7620" w:rsidRDefault="002F7620" w:rsidP="002F7620">
      <w:pPr>
        <w:spacing w:line="360" w:lineRule="auto"/>
        <w:rPr>
          <w:szCs w:val="28"/>
        </w:rPr>
      </w:pPr>
      <w:r>
        <w:rPr>
          <w:szCs w:val="28"/>
        </w:rPr>
        <w:t xml:space="preserve"> Для расчета прогноза поступлений в местный бюджет доходов от части чистой прибыли используются: - налоговая и статистическая отчетность муниципальных унитарных предприятий по прибыли; - прогноз муниципальных унитарных предприятий о размере прибыли в расчетном году.  Прогноз поступления доходов от части чистой прибыли производится по следующей формуле: </w:t>
      </w:r>
      <w:proofErr w:type="spellStart"/>
      <w:r>
        <w:rPr>
          <w:szCs w:val="28"/>
        </w:rPr>
        <w:t>Nч.п</w:t>
      </w:r>
      <w:proofErr w:type="spellEnd"/>
      <w:r>
        <w:rPr>
          <w:szCs w:val="28"/>
        </w:rPr>
        <w:t xml:space="preserve">. =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× (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ч.п. – </w:t>
      </w:r>
      <w:proofErr w:type="spellStart"/>
      <w:proofErr w:type="gramStart"/>
      <w:r>
        <w:rPr>
          <w:szCs w:val="28"/>
        </w:rPr>
        <w:t>Сниж</w:t>
      </w:r>
      <w:proofErr w:type="spellEnd"/>
      <w:r>
        <w:rPr>
          <w:szCs w:val="28"/>
        </w:rPr>
        <w:t>) × Н ч.п., где: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</w:t>
      </w:r>
      <w:proofErr w:type="gramEnd"/>
      <w:r>
        <w:rPr>
          <w:szCs w:val="28"/>
        </w:rPr>
        <w:t>ч.п</w:t>
      </w:r>
      <w:proofErr w:type="spellEnd"/>
      <w:r>
        <w:rPr>
          <w:szCs w:val="28"/>
        </w:rPr>
        <w:t xml:space="preserve">. - прогноз поступления доходов от части чистой прибыли муниципальных унитарных предприятий, подлежащей перечислению в местный бюджет; </w:t>
      </w:r>
    </w:p>
    <w:p w:rsidR="002F7620" w:rsidRDefault="002F7620" w:rsidP="002F7620">
      <w:pPr>
        <w:spacing w:line="360" w:lineRule="auto"/>
        <w:rPr>
          <w:szCs w:val="28"/>
        </w:rPr>
      </w:pPr>
      <w:proofErr w:type="spellStart"/>
      <w:r>
        <w:rPr>
          <w:szCs w:val="28"/>
        </w:rPr>
        <w:t>Рч.п</w:t>
      </w:r>
      <w:proofErr w:type="spellEnd"/>
      <w:r>
        <w:rPr>
          <w:szCs w:val="28"/>
        </w:rPr>
        <w:t xml:space="preserve">. - прогнозируемая прибыль муниципальных унитарных предприятий, остающаяся после уплаты налогов и иных обязательных платежей; - снижение годовой суммы прибыли в связи с предполагаемым </w:t>
      </w:r>
      <w:proofErr w:type="spellStart"/>
      <w:r>
        <w:rPr>
          <w:szCs w:val="28"/>
        </w:rPr>
        <w:t>акцион</w:t>
      </w:r>
      <w:proofErr w:type="gramStart"/>
      <w:r>
        <w:rPr>
          <w:szCs w:val="28"/>
        </w:rPr>
        <w:t>и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рованием</w:t>
      </w:r>
      <w:proofErr w:type="spellEnd"/>
      <w:r>
        <w:rPr>
          <w:szCs w:val="28"/>
        </w:rPr>
        <w:t>, ликвидацией, реорганизацией муниципальных унитарных предприятий;</w:t>
      </w:r>
    </w:p>
    <w:p w:rsidR="002F7620" w:rsidRDefault="002F7620" w:rsidP="002F7620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Нч.п</w:t>
      </w:r>
      <w:proofErr w:type="spellEnd"/>
      <w:r>
        <w:rPr>
          <w:szCs w:val="28"/>
        </w:rPr>
        <w:t xml:space="preserve">. - норматив отчисления доходов от части прибыли муниципальных унитарных предприятий в бюджет муниципального образования, установленный на очередной финансовый год.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– количество муниципальных </w:t>
      </w:r>
      <w:r>
        <w:rPr>
          <w:szCs w:val="28"/>
        </w:rPr>
        <w:lastRenderedPageBreak/>
        <w:t>унитарных предприятий, у которых часть прибыли подлежит перечислению в местный бюджет.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2.1.3. Доходы от реализации имущества, находящегося в собственности поселений (1 14 02052 13 0000 140).  Прогноз доходов от реализации имущества, находящегося в собственности поселений на очередной финансовый год и плановый период определяется в соответствии с Федеральным законом «О приватизации государственного и муниципального имущества»,  на основании: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- договоров купли-продажи с предоставлением рассрочки платежа;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- прогнозного плана (программы) </w:t>
      </w:r>
      <w:hyperlink r:id="rId5" w:tooltip="Приватизация муниципального имущества" w:history="1">
        <w:r>
          <w:rPr>
            <w:rStyle w:val="a3"/>
            <w:szCs w:val="28"/>
          </w:rPr>
          <w:t>приватизации муниципального</w:t>
        </w:r>
      </w:hyperlink>
      <w:r>
        <w:rPr>
          <w:szCs w:val="28"/>
        </w:rPr>
        <w:t> имущества.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Прогноз доходов от реализации имущества, находящегося в собственности поселения, определяется исходя из балансовой (остаточной) стоимости </w:t>
      </w:r>
      <w:hyperlink r:id="rId6" w:tooltip="Объекты недвижимости" w:history="1">
        <w:r>
          <w:rPr>
            <w:rStyle w:val="a3"/>
            <w:szCs w:val="28"/>
          </w:rPr>
          <w:t>объектов движимого и недвижимо</w:t>
        </w:r>
      </w:hyperlink>
      <w:r>
        <w:rPr>
          <w:szCs w:val="28"/>
        </w:rPr>
        <w:t>го имущества, планируемых к реализации и остатков основного долга по договорам купли-продажи с рассрочкой платежа. При планировании доходов от реализации имущества учитываются риски, связанные с отсутствием спроса на объекты, запланированные к реализации.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2.1.4 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>
        <w:rPr>
          <w:szCs w:val="28"/>
        </w:rPr>
        <w:t>выгодоприобретателями</w:t>
      </w:r>
      <w:proofErr w:type="spellEnd"/>
      <w:r>
        <w:rPr>
          <w:szCs w:val="28"/>
        </w:rPr>
        <w:t xml:space="preserve"> выступают получатели средств бюджетов городских поселений (1 16 23051 13 0000 140). Платежи имеют несистемный характер.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Правовые,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законом от 25 апреля 2002 года №40-ФЗ «Об обязательном страховании гражданской ответственности владельцев транспортных средств».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Обязательное страхование гражданской ответственности осуществляется владельцами транспортных средств путем заключения со страховщиками </w:t>
      </w:r>
      <w:r>
        <w:rPr>
          <w:szCs w:val="28"/>
        </w:rPr>
        <w:lastRenderedPageBreak/>
        <w:t>договоров обязательного страхования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в котором указываются размер платы (страховой премии) при наступлении предусмотренного в договоре события (страхового случая). Исчисление  дохода производится при наступлении страхового случая  согласно документам страховой компании по договору.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3. Прогнозирование иных доходов бюджета поселения</w:t>
      </w:r>
      <w:r>
        <w:rPr>
          <w:b/>
          <w:szCs w:val="28"/>
        </w:rPr>
        <w:t>,</w:t>
      </w:r>
      <w:r>
        <w:rPr>
          <w:szCs w:val="28"/>
        </w:rPr>
        <w:t xml:space="preserve">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>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К непрогнозируемым доходам  бюджета поселения, администрирование которых осуществляет  администратор, которые носят заявительный и нерегулярный характер  относятся: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доходы от  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  в бюджеты поселений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108 07175 13 0000 110);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- прочие доходы от компенсации затрат бюджетов городских поселений;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( 1 13 02995 13 0000 130);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-платежи, взимаемые органами местного самоуправления (организациями) городских поселений за выполнение определенных функций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( 1 15 02050 13 0000 140);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-доходы бюджета от денежных взысканий (штрафов) за нарушение бюджетного законодательства (в части бюджетов городских  поселений) 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( 1 16 18050 13 0000 140);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- прочие неналоговые доходы бюджетов поселений (1 17 05050 10 0000 180).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Расчет объемов данных поступлений на очередной финансовый год осуществляется по следующей формуле: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P = (P(m-3) + P(m-2) + P(m-1) + P(</w:t>
      </w:r>
      <w:proofErr w:type="spellStart"/>
      <w:r>
        <w:rPr>
          <w:szCs w:val="28"/>
        </w:rPr>
        <w:t>m</w:t>
      </w:r>
      <w:proofErr w:type="spellEnd"/>
      <w:r>
        <w:rPr>
          <w:szCs w:val="28"/>
        </w:rPr>
        <w:t>))/4,где: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P(m-3),P(m-2), P(m-1)– фактическое значение годовых поступлений за три отчетных года;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P(</w:t>
      </w:r>
      <w:proofErr w:type="spellStart"/>
      <w:r>
        <w:rPr>
          <w:szCs w:val="28"/>
        </w:rPr>
        <w:t>m</w:t>
      </w:r>
      <w:proofErr w:type="spellEnd"/>
      <w:r>
        <w:rPr>
          <w:szCs w:val="28"/>
        </w:rPr>
        <w:t>)– ожидаемый объем поступлений в текущем финансовом году, рассчитываемый по следующей формуле: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 P(</w:t>
      </w:r>
      <w:proofErr w:type="spellStart"/>
      <w:r>
        <w:rPr>
          <w:szCs w:val="28"/>
        </w:rPr>
        <w:t>m</w:t>
      </w:r>
      <w:proofErr w:type="spellEnd"/>
      <w:r>
        <w:rPr>
          <w:szCs w:val="28"/>
        </w:rPr>
        <w:t>)= (</w:t>
      </w:r>
      <w:proofErr w:type="spellStart"/>
      <w:proofErr w:type="gramStart"/>
      <w:r>
        <w:rPr>
          <w:szCs w:val="28"/>
        </w:rPr>
        <w:t>P</w:t>
      </w:r>
      <w:proofErr w:type="gramEnd"/>
      <w:r>
        <w:rPr>
          <w:szCs w:val="28"/>
        </w:rPr>
        <w:t>о</w:t>
      </w:r>
      <w:proofErr w:type="spellEnd"/>
      <w:r>
        <w:rPr>
          <w:szCs w:val="28"/>
        </w:rPr>
        <w:t>(</w:t>
      </w:r>
      <w:proofErr w:type="spellStart"/>
      <w:r>
        <w:rPr>
          <w:szCs w:val="28"/>
        </w:rPr>
        <w:t>m</w:t>
      </w:r>
      <w:proofErr w:type="spellEnd"/>
      <w:r>
        <w:rPr>
          <w:szCs w:val="28"/>
        </w:rPr>
        <w:t>) / </w:t>
      </w:r>
      <w:proofErr w:type="spellStart"/>
      <w:r>
        <w:rPr>
          <w:szCs w:val="28"/>
        </w:rPr>
        <w:t>k</w:t>
      </w:r>
      <w:proofErr w:type="spellEnd"/>
      <w:r>
        <w:rPr>
          <w:szCs w:val="28"/>
        </w:rPr>
        <w:t>) *12,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 где: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P</w:t>
      </w:r>
      <w:proofErr w:type="gramEnd"/>
      <w:r>
        <w:rPr>
          <w:szCs w:val="28"/>
        </w:rPr>
        <w:t>о</w:t>
      </w:r>
      <w:proofErr w:type="spellEnd"/>
      <w:r>
        <w:rPr>
          <w:szCs w:val="28"/>
        </w:rPr>
        <w:t>(</w:t>
      </w:r>
      <w:proofErr w:type="spellStart"/>
      <w:r>
        <w:rPr>
          <w:szCs w:val="28"/>
        </w:rPr>
        <w:t>m</w:t>
      </w:r>
      <w:proofErr w:type="spellEnd"/>
      <w:r>
        <w:rPr>
          <w:szCs w:val="28"/>
        </w:rPr>
        <w:t>) </w:t>
      </w:r>
      <w:r>
        <w:rPr>
          <w:szCs w:val="28"/>
        </w:rPr>
        <w:softHyphen/>
      </w:r>
      <w:r>
        <w:rPr>
          <w:szCs w:val="28"/>
        </w:rPr>
        <w:softHyphen/>
        <w:t>– фактическое значение поступлений за истекший период текущего года;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k</w:t>
      </w:r>
      <w:proofErr w:type="spellEnd"/>
      <w:r>
        <w:rPr>
          <w:szCs w:val="28"/>
        </w:rPr>
        <w:t> – количество месяцев истекшего периода текущего года.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 Расчет объемов данных поступлений на плановый период осуществляется по следующей формуле: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 P(p) = (P(t-2) + P(t-1) + P(</w:t>
      </w:r>
      <w:proofErr w:type="spellStart"/>
      <w:r>
        <w:rPr>
          <w:szCs w:val="28"/>
        </w:rPr>
        <w:t>t</w:t>
      </w:r>
      <w:proofErr w:type="spellEnd"/>
      <w:r>
        <w:rPr>
          <w:szCs w:val="28"/>
        </w:rPr>
        <w:t>))/3,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 где: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  <w:r>
        <w:rPr>
          <w:szCs w:val="28"/>
        </w:rPr>
        <w:t>P(t-2),P(t-1), P(</w:t>
      </w:r>
      <w:proofErr w:type="spellStart"/>
      <w:r>
        <w:rPr>
          <w:szCs w:val="28"/>
        </w:rPr>
        <w:t>t</w:t>
      </w:r>
      <w:proofErr w:type="spellEnd"/>
      <w:r>
        <w:rPr>
          <w:szCs w:val="28"/>
        </w:rPr>
        <w:t xml:space="preserve">)– фактическое (прогнозируемое) значение годовых поступлений за три года, предшествующих </w:t>
      </w:r>
      <w:proofErr w:type="gramStart"/>
      <w:r>
        <w:rPr>
          <w:szCs w:val="28"/>
        </w:rPr>
        <w:t>планируемому</w:t>
      </w:r>
      <w:proofErr w:type="gramEnd"/>
      <w:r>
        <w:rPr>
          <w:szCs w:val="28"/>
        </w:rPr>
        <w:t>.</w:t>
      </w:r>
    </w:p>
    <w:p w:rsidR="002F7620" w:rsidRDefault="002F7620" w:rsidP="002F7620">
      <w:pPr>
        <w:spacing w:line="360" w:lineRule="auto"/>
        <w:jc w:val="both"/>
        <w:rPr>
          <w:szCs w:val="28"/>
        </w:rPr>
      </w:pPr>
    </w:p>
    <w:p w:rsidR="002F7620" w:rsidRPr="003C3AB8" w:rsidRDefault="002F7620" w:rsidP="003C3AB8">
      <w:pPr>
        <w:spacing w:line="360" w:lineRule="auto"/>
        <w:jc w:val="both"/>
        <w:rPr>
          <w:szCs w:val="28"/>
        </w:rPr>
      </w:pPr>
      <w:r>
        <w:rPr>
          <w:szCs w:val="28"/>
        </w:rPr>
        <w:t>4.Прогнозный объем поступлений по группе доходов бюджета поселения</w:t>
      </w:r>
      <w:r>
        <w:rPr>
          <w:szCs w:val="28"/>
        </w:rPr>
        <w:br/>
        <w:t> 202 000 0000 00 00000 «Безвозмездные поступления от других бюджетов бюджетной системы Российской Федерации» определяется на основании объема расходов  областного и районного бюджетов, предусмотренных нормативн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правовыми актами  Брянской  области, Брасовского муниципального района  и (или) соглашениями о представлении межбюджетных трансфертов из областного и районного бюджета.</w:t>
      </w:r>
      <w:r>
        <w:rPr>
          <w:szCs w:val="28"/>
        </w:rPr>
        <w:br/>
        <w:t>В течение текущего года, в случае увеличения (уменьшения) объемов расходов областного и районного бюджета на  предоставление межбюджетных трансфертов увеличивается (уменьшается) прогнозный объем безвозмездных поступлений из  областного и районного бюджета.</w:t>
      </w:r>
    </w:p>
    <w:sectPr w:rsidR="002F7620" w:rsidRPr="003C3AB8" w:rsidSect="00BE1FC8">
      <w:footnotePr>
        <w:pos w:val="beneathText"/>
      </w:footnotePr>
      <w:pgSz w:w="11905" w:h="16837"/>
      <w:pgMar w:top="851" w:right="990" w:bottom="170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F7620"/>
    <w:rsid w:val="0015553F"/>
    <w:rsid w:val="002F7620"/>
    <w:rsid w:val="003C3AB8"/>
    <w:rsid w:val="005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2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620"/>
    <w:rPr>
      <w:color w:val="0000FF"/>
      <w:u w:val="single"/>
    </w:rPr>
  </w:style>
  <w:style w:type="paragraph" w:styleId="a4">
    <w:name w:val="Normal (Web)"/>
    <w:basedOn w:val="a"/>
    <w:unhideWhenUsed/>
    <w:rsid w:val="002F762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6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tzekti_nedvizhimosti/" TargetMode="External"/><Relationship Id="rId5" Type="http://schemas.openxmlformats.org/officeDocument/2006/relationships/hyperlink" Target="http://pandia.ru/text/category/privatizatciya_munitcipalmznogo_imushestv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2267</Words>
  <Characters>12927</Characters>
  <Application>Microsoft Office Word</Application>
  <DocSecurity>0</DocSecurity>
  <Lines>107</Lines>
  <Paragraphs>30</Paragraphs>
  <ScaleCrop>false</ScaleCrop>
  <Company>Microsoft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WORK</cp:lastModifiedBy>
  <cp:revision>3</cp:revision>
  <dcterms:created xsi:type="dcterms:W3CDTF">2016-09-29T12:41:00Z</dcterms:created>
  <dcterms:modified xsi:type="dcterms:W3CDTF">2016-09-29T11:53:00Z</dcterms:modified>
</cp:coreProperties>
</file>